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F4A0" w14:textId="77777777" w:rsidR="005257F9" w:rsidRPr="005257F9" w:rsidRDefault="005257F9" w:rsidP="005257F9">
      <w:r w:rsidRPr="005257F9">
        <w:rPr>
          <w:b/>
          <w:bCs/>
        </w:rPr>
        <w:t>Payment Plan</w:t>
      </w:r>
    </w:p>
    <w:p w14:paraId="10A39783" w14:textId="77777777" w:rsidR="005257F9" w:rsidRPr="005257F9" w:rsidRDefault="005257F9" w:rsidP="005257F9">
      <w:r w:rsidRPr="005257F9">
        <w:t>Starting From</w:t>
      </w:r>
    </w:p>
    <w:p w14:paraId="6EF839F4" w14:textId="77777777" w:rsidR="005257F9" w:rsidRPr="005257F9" w:rsidRDefault="005257F9" w:rsidP="005257F9">
      <w:pPr>
        <w:rPr>
          <w:b/>
          <w:bCs/>
        </w:rPr>
      </w:pPr>
      <w:r w:rsidRPr="005257F9">
        <w:rPr>
          <w:b/>
          <w:bCs/>
        </w:rPr>
        <w:t>AED 1.67 M </w:t>
      </w:r>
    </w:p>
    <w:p w14:paraId="43D43CC7" w14:textId="77777777" w:rsidR="005257F9" w:rsidRPr="005257F9" w:rsidRDefault="005257F9" w:rsidP="005257F9">
      <w:r w:rsidRPr="005257F9">
        <w:rPr>
          <w:b/>
          <w:bCs/>
        </w:rPr>
        <w:t>Binghatti Skyblade by Binghatti Developers</w:t>
      </w:r>
      <w:r w:rsidRPr="005257F9">
        <w:t> presents an opportunity for buyers to indulge in the luxury of their dream home, with flexible payment plans. It ensures accessibility without compromising on quality. The first step of the payment plan ensures that buyers can reserve their home in a vibrant and carefully crafted neighbourhood, with follow-up payments that are designed to suit different financial situations and budgets. Buyers can secure their home with a modest down payment, followed by instalments payments throughout construction and handover.</w:t>
      </w:r>
    </w:p>
    <w:p w14:paraId="402C70F0" w14:textId="77777777" w:rsidR="005257F9" w:rsidRPr="005257F9" w:rsidRDefault="005257F9" w:rsidP="005257F9">
      <w:pPr>
        <w:rPr>
          <w:b/>
          <w:bCs/>
        </w:rPr>
      </w:pPr>
      <w:r w:rsidRPr="005257F9">
        <w:rPr>
          <w:b/>
          <w:bCs/>
        </w:rPr>
        <w:t>1- Attractive 60/40 Payment Plan (Limited-time)</w:t>
      </w:r>
    </w:p>
    <w:tbl>
      <w:tblPr>
        <w:tblW w:w="10338" w:type="dxa"/>
        <w:tblCellMar>
          <w:top w:w="15" w:type="dxa"/>
          <w:left w:w="15" w:type="dxa"/>
          <w:bottom w:w="15" w:type="dxa"/>
          <w:right w:w="15" w:type="dxa"/>
        </w:tblCellMar>
        <w:tblLook w:val="04A0" w:firstRow="1" w:lastRow="0" w:firstColumn="1" w:lastColumn="0" w:noHBand="0" w:noVBand="1"/>
      </w:tblPr>
      <w:tblGrid>
        <w:gridCol w:w="3556"/>
        <w:gridCol w:w="1922"/>
        <w:gridCol w:w="4860"/>
      </w:tblGrid>
      <w:tr w:rsidR="005257F9" w:rsidRPr="005257F9" w14:paraId="31E74D09" w14:textId="77777777">
        <w:trPr>
          <w:tblHeader/>
        </w:trPr>
        <w:tc>
          <w:tcPr>
            <w:tcW w:w="0" w:type="auto"/>
            <w:tcBorders>
              <w:top w:val="single" w:sz="6" w:space="0" w:color="DEE2E6"/>
              <w:bottom w:val="single" w:sz="12" w:space="0" w:color="DEE2E6"/>
            </w:tcBorders>
            <w:vAlign w:val="bottom"/>
            <w:hideMark/>
          </w:tcPr>
          <w:p w14:paraId="03F58E71" w14:textId="77777777" w:rsidR="005257F9" w:rsidRPr="005257F9" w:rsidRDefault="005257F9" w:rsidP="005257F9">
            <w:pPr>
              <w:rPr>
                <w:b/>
                <w:bCs/>
              </w:rPr>
            </w:pPr>
            <w:r w:rsidRPr="005257F9">
              <w:rPr>
                <w:b/>
                <w:bCs/>
              </w:rPr>
              <w:t>Installment</w:t>
            </w:r>
          </w:p>
        </w:tc>
        <w:tc>
          <w:tcPr>
            <w:tcW w:w="0" w:type="auto"/>
            <w:tcBorders>
              <w:top w:val="single" w:sz="6" w:space="0" w:color="DEE2E6"/>
              <w:bottom w:val="single" w:sz="12" w:space="0" w:color="DEE2E6"/>
            </w:tcBorders>
            <w:vAlign w:val="bottom"/>
            <w:hideMark/>
          </w:tcPr>
          <w:p w14:paraId="7E664410" w14:textId="77777777" w:rsidR="005257F9" w:rsidRPr="005257F9" w:rsidRDefault="005257F9" w:rsidP="005257F9">
            <w:pPr>
              <w:rPr>
                <w:b/>
                <w:bCs/>
              </w:rPr>
            </w:pPr>
            <w:r w:rsidRPr="005257F9">
              <w:rPr>
                <w:b/>
                <w:bCs/>
              </w:rPr>
              <w:t>Payment (%)</w:t>
            </w:r>
          </w:p>
        </w:tc>
        <w:tc>
          <w:tcPr>
            <w:tcW w:w="0" w:type="auto"/>
            <w:tcBorders>
              <w:top w:val="single" w:sz="6" w:space="0" w:color="DEE2E6"/>
              <w:bottom w:val="single" w:sz="12" w:space="0" w:color="DEE2E6"/>
            </w:tcBorders>
            <w:vAlign w:val="bottom"/>
            <w:hideMark/>
          </w:tcPr>
          <w:p w14:paraId="344E10CD" w14:textId="77777777" w:rsidR="005257F9" w:rsidRPr="005257F9" w:rsidRDefault="005257F9" w:rsidP="005257F9">
            <w:pPr>
              <w:rPr>
                <w:b/>
                <w:bCs/>
              </w:rPr>
            </w:pPr>
            <w:r w:rsidRPr="005257F9">
              <w:rPr>
                <w:b/>
                <w:bCs/>
              </w:rPr>
              <w:t>Milestone</w:t>
            </w:r>
          </w:p>
        </w:tc>
      </w:tr>
      <w:tr w:rsidR="005257F9" w:rsidRPr="005257F9" w14:paraId="0E5AD538" w14:textId="77777777">
        <w:tc>
          <w:tcPr>
            <w:tcW w:w="0" w:type="auto"/>
            <w:tcBorders>
              <w:top w:val="single" w:sz="6" w:space="0" w:color="DEE2E6"/>
            </w:tcBorders>
            <w:noWrap/>
            <w:hideMark/>
          </w:tcPr>
          <w:p w14:paraId="11830D77" w14:textId="77777777" w:rsidR="005257F9" w:rsidRPr="005257F9" w:rsidRDefault="005257F9" w:rsidP="005257F9">
            <w:r w:rsidRPr="005257F9">
              <w:t>Down Payment</w:t>
            </w:r>
          </w:p>
        </w:tc>
        <w:tc>
          <w:tcPr>
            <w:tcW w:w="0" w:type="auto"/>
            <w:tcBorders>
              <w:top w:val="single" w:sz="6" w:space="0" w:color="DEE2E6"/>
            </w:tcBorders>
            <w:noWrap/>
            <w:hideMark/>
          </w:tcPr>
          <w:p w14:paraId="6BA854BC" w14:textId="77777777" w:rsidR="005257F9" w:rsidRPr="005257F9" w:rsidRDefault="005257F9" w:rsidP="005257F9">
            <w:r w:rsidRPr="005257F9">
              <w:t>10%</w:t>
            </w:r>
          </w:p>
        </w:tc>
        <w:tc>
          <w:tcPr>
            <w:tcW w:w="0" w:type="auto"/>
            <w:tcBorders>
              <w:top w:val="single" w:sz="6" w:space="0" w:color="DEE2E6"/>
            </w:tcBorders>
            <w:noWrap/>
            <w:hideMark/>
          </w:tcPr>
          <w:p w14:paraId="33C7AD94" w14:textId="77777777" w:rsidR="005257F9" w:rsidRPr="005257F9" w:rsidRDefault="005257F9" w:rsidP="005257F9">
            <w:r w:rsidRPr="005257F9">
              <w:t>On Sales Date</w:t>
            </w:r>
          </w:p>
        </w:tc>
      </w:tr>
      <w:tr w:rsidR="005257F9" w:rsidRPr="005257F9" w14:paraId="62442A27" w14:textId="77777777">
        <w:tc>
          <w:tcPr>
            <w:tcW w:w="0" w:type="auto"/>
            <w:tcBorders>
              <w:top w:val="single" w:sz="6" w:space="0" w:color="DEE2E6"/>
            </w:tcBorders>
            <w:noWrap/>
            <w:hideMark/>
          </w:tcPr>
          <w:p w14:paraId="4DB27FA3" w14:textId="77777777" w:rsidR="005257F9" w:rsidRPr="005257F9" w:rsidRDefault="005257F9" w:rsidP="005257F9">
            <w:r w:rsidRPr="005257F9">
              <w:t>1st Installment</w:t>
            </w:r>
          </w:p>
        </w:tc>
        <w:tc>
          <w:tcPr>
            <w:tcW w:w="0" w:type="auto"/>
            <w:tcBorders>
              <w:top w:val="single" w:sz="6" w:space="0" w:color="DEE2E6"/>
            </w:tcBorders>
            <w:noWrap/>
            <w:hideMark/>
          </w:tcPr>
          <w:p w14:paraId="53D77631" w14:textId="77777777" w:rsidR="005257F9" w:rsidRPr="005257F9" w:rsidRDefault="005257F9" w:rsidP="005257F9">
            <w:r w:rsidRPr="005257F9">
              <w:t>10%</w:t>
            </w:r>
          </w:p>
        </w:tc>
        <w:tc>
          <w:tcPr>
            <w:tcW w:w="0" w:type="auto"/>
            <w:tcBorders>
              <w:top w:val="single" w:sz="6" w:space="0" w:color="DEE2E6"/>
            </w:tcBorders>
            <w:noWrap/>
            <w:hideMark/>
          </w:tcPr>
          <w:p w14:paraId="0BDE17CF" w14:textId="77777777" w:rsidR="005257F9" w:rsidRPr="005257F9" w:rsidRDefault="005257F9" w:rsidP="005257F9">
            <w:r w:rsidRPr="005257F9">
              <w:t>Within 30 days from sales date</w:t>
            </w:r>
          </w:p>
        </w:tc>
      </w:tr>
      <w:tr w:rsidR="005257F9" w:rsidRPr="005257F9" w14:paraId="06723C82" w14:textId="77777777">
        <w:tc>
          <w:tcPr>
            <w:tcW w:w="0" w:type="auto"/>
            <w:tcBorders>
              <w:top w:val="single" w:sz="6" w:space="0" w:color="DEE2E6"/>
            </w:tcBorders>
            <w:noWrap/>
            <w:hideMark/>
          </w:tcPr>
          <w:p w14:paraId="6C11FEB8" w14:textId="77777777" w:rsidR="005257F9" w:rsidRPr="005257F9" w:rsidRDefault="005257F9" w:rsidP="005257F9">
            <w:r w:rsidRPr="005257F9">
              <w:t>2nd to 5th Installment</w:t>
            </w:r>
          </w:p>
        </w:tc>
        <w:tc>
          <w:tcPr>
            <w:tcW w:w="0" w:type="auto"/>
            <w:tcBorders>
              <w:top w:val="single" w:sz="6" w:space="0" w:color="DEE2E6"/>
            </w:tcBorders>
            <w:noWrap/>
            <w:hideMark/>
          </w:tcPr>
          <w:p w14:paraId="0965CFE9" w14:textId="77777777" w:rsidR="005257F9" w:rsidRPr="005257F9" w:rsidRDefault="005257F9" w:rsidP="005257F9">
            <w:r w:rsidRPr="005257F9">
              <w:t>1%</w:t>
            </w:r>
          </w:p>
        </w:tc>
        <w:tc>
          <w:tcPr>
            <w:tcW w:w="0" w:type="auto"/>
            <w:tcBorders>
              <w:top w:val="single" w:sz="6" w:space="0" w:color="DEE2E6"/>
            </w:tcBorders>
            <w:noWrap/>
            <w:hideMark/>
          </w:tcPr>
          <w:p w14:paraId="21E5C2E3" w14:textId="77777777" w:rsidR="005257F9" w:rsidRPr="005257F9" w:rsidRDefault="005257F9" w:rsidP="005257F9">
            <w:r w:rsidRPr="005257F9">
              <w:t>Within 5 months from sales date</w:t>
            </w:r>
          </w:p>
        </w:tc>
      </w:tr>
      <w:tr w:rsidR="005257F9" w:rsidRPr="005257F9" w14:paraId="4ADDAA7B" w14:textId="77777777">
        <w:tc>
          <w:tcPr>
            <w:tcW w:w="0" w:type="auto"/>
            <w:tcBorders>
              <w:top w:val="single" w:sz="6" w:space="0" w:color="DEE2E6"/>
            </w:tcBorders>
            <w:noWrap/>
            <w:hideMark/>
          </w:tcPr>
          <w:p w14:paraId="678809FC" w14:textId="77777777" w:rsidR="005257F9" w:rsidRPr="005257F9" w:rsidRDefault="005257F9" w:rsidP="005257F9">
            <w:r w:rsidRPr="005257F9">
              <w:t>6th Installment</w:t>
            </w:r>
          </w:p>
        </w:tc>
        <w:tc>
          <w:tcPr>
            <w:tcW w:w="0" w:type="auto"/>
            <w:tcBorders>
              <w:top w:val="single" w:sz="6" w:space="0" w:color="DEE2E6"/>
            </w:tcBorders>
            <w:noWrap/>
            <w:hideMark/>
          </w:tcPr>
          <w:p w14:paraId="68F402AE" w14:textId="77777777" w:rsidR="005257F9" w:rsidRPr="005257F9" w:rsidRDefault="005257F9" w:rsidP="005257F9">
            <w:r w:rsidRPr="005257F9">
              <w:t>5%</w:t>
            </w:r>
          </w:p>
        </w:tc>
        <w:tc>
          <w:tcPr>
            <w:tcW w:w="0" w:type="auto"/>
            <w:tcBorders>
              <w:top w:val="single" w:sz="6" w:space="0" w:color="DEE2E6"/>
            </w:tcBorders>
            <w:noWrap/>
            <w:hideMark/>
          </w:tcPr>
          <w:p w14:paraId="7417A9E5" w14:textId="77777777" w:rsidR="005257F9" w:rsidRPr="005257F9" w:rsidRDefault="005257F9" w:rsidP="005257F9">
            <w:r w:rsidRPr="005257F9">
              <w:t>Within 6 months from sales date</w:t>
            </w:r>
          </w:p>
        </w:tc>
      </w:tr>
      <w:tr w:rsidR="005257F9" w:rsidRPr="005257F9" w14:paraId="4CF3167C" w14:textId="77777777">
        <w:tc>
          <w:tcPr>
            <w:tcW w:w="0" w:type="auto"/>
            <w:tcBorders>
              <w:top w:val="single" w:sz="6" w:space="0" w:color="DEE2E6"/>
            </w:tcBorders>
            <w:noWrap/>
            <w:hideMark/>
          </w:tcPr>
          <w:p w14:paraId="34E206ED" w14:textId="77777777" w:rsidR="005257F9" w:rsidRPr="005257F9" w:rsidRDefault="005257F9" w:rsidP="005257F9">
            <w:r w:rsidRPr="005257F9">
              <w:t>7th to 11th Installment</w:t>
            </w:r>
          </w:p>
        </w:tc>
        <w:tc>
          <w:tcPr>
            <w:tcW w:w="0" w:type="auto"/>
            <w:tcBorders>
              <w:top w:val="single" w:sz="6" w:space="0" w:color="DEE2E6"/>
            </w:tcBorders>
            <w:noWrap/>
            <w:hideMark/>
          </w:tcPr>
          <w:p w14:paraId="5E308E8F" w14:textId="77777777" w:rsidR="005257F9" w:rsidRPr="005257F9" w:rsidRDefault="005257F9" w:rsidP="005257F9">
            <w:r w:rsidRPr="005257F9">
              <w:t>1.25%</w:t>
            </w:r>
          </w:p>
        </w:tc>
        <w:tc>
          <w:tcPr>
            <w:tcW w:w="0" w:type="auto"/>
            <w:tcBorders>
              <w:top w:val="single" w:sz="6" w:space="0" w:color="DEE2E6"/>
            </w:tcBorders>
            <w:noWrap/>
            <w:hideMark/>
          </w:tcPr>
          <w:p w14:paraId="07D9E356" w14:textId="77777777" w:rsidR="005257F9" w:rsidRPr="005257F9" w:rsidRDefault="005257F9" w:rsidP="005257F9">
            <w:r w:rsidRPr="005257F9">
              <w:t>Within 11 months from sales date</w:t>
            </w:r>
          </w:p>
        </w:tc>
      </w:tr>
      <w:tr w:rsidR="005257F9" w:rsidRPr="005257F9" w14:paraId="17C9F82B" w14:textId="77777777">
        <w:tc>
          <w:tcPr>
            <w:tcW w:w="0" w:type="auto"/>
            <w:tcBorders>
              <w:top w:val="single" w:sz="6" w:space="0" w:color="DEE2E6"/>
            </w:tcBorders>
            <w:noWrap/>
            <w:hideMark/>
          </w:tcPr>
          <w:p w14:paraId="24B26E63" w14:textId="77777777" w:rsidR="005257F9" w:rsidRPr="005257F9" w:rsidRDefault="005257F9" w:rsidP="005257F9">
            <w:r w:rsidRPr="005257F9">
              <w:t>12th Installment</w:t>
            </w:r>
          </w:p>
        </w:tc>
        <w:tc>
          <w:tcPr>
            <w:tcW w:w="0" w:type="auto"/>
            <w:tcBorders>
              <w:top w:val="single" w:sz="6" w:space="0" w:color="DEE2E6"/>
            </w:tcBorders>
            <w:noWrap/>
            <w:hideMark/>
          </w:tcPr>
          <w:p w14:paraId="6C418F8C" w14:textId="77777777" w:rsidR="005257F9" w:rsidRPr="005257F9" w:rsidRDefault="005257F9" w:rsidP="005257F9">
            <w:r w:rsidRPr="005257F9">
              <w:t>10%</w:t>
            </w:r>
          </w:p>
        </w:tc>
        <w:tc>
          <w:tcPr>
            <w:tcW w:w="0" w:type="auto"/>
            <w:tcBorders>
              <w:top w:val="single" w:sz="6" w:space="0" w:color="DEE2E6"/>
            </w:tcBorders>
            <w:noWrap/>
            <w:hideMark/>
          </w:tcPr>
          <w:p w14:paraId="2A2CE7EB" w14:textId="77777777" w:rsidR="005257F9" w:rsidRPr="005257F9" w:rsidRDefault="005257F9" w:rsidP="005257F9">
            <w:r w:rsidRPr="005257F9">
              <w:t>Within 12 months from sales date</w:t>
            </w:r>
          </w:p>
        </w:tc>
      </w:tr>
      <w:tr w:rsidR="005257F9" w:rsidRPr="005257F9" w14:paraId="1C8782DC" w14:textId="77777777">
        <w:tc>
          <w:tcPr>
            <w:tcW w:w="0" w:type="auto"/>
            <w:tcBorders>
              <w:top w:val="single" w:sz="6" w:space="0" w:color="DEE2E6"/>
            </w:tcBorders>
            <w:noWrap/>
            <w:hideMark/>
          </w:tcPr>
          <w:p w14:paraId="3A423C46" w14:textId="77777777" w:rsidR="005257F9" w:rsidRPr="005257F9" w:rsidRDefault="005257F9" w:rsidP="005257F9">
            <w:r w:rsidRPr="005257F9">
              <w:t>13th to 17th Installment</w:t>
            </w:r>
          </w:p>
        </w:tc>
        <w:tc>
          <w:tcPr>
            <w:tcW w:w="0" w:type="auto"/>
            <w:tcBorders>
              <w:top w:val="single" w:sz="6" w:space="0" w:color="DEE2E6"/>
            </w:tcBorders>
            <w:noWrap/>
            <w:hideMark/>
          </w:tcPr>
          <w:p w14:paraId="1A0F1B2E" w14:textId="77777777" w:rsidR="005257F9" w:rsidRPr="005257F9" w:rsidRDefault="005257F9" w:rsidP="005257F9">
            <w:r w:rsidRPr="005257F9">
              <w:t>1.25%</w:t>
            </w:r>
          </w:p>
        </w:tc>
        <w:tc>
          <w:tcPr>
            <w:tcW w:w="0" w:type="auto"/>
            <w:tcBorders>
              <w:top w:val="single" w:sz="6" w:space="0" w:color="DEE2E6"/>
            </w:tcBorders>
            <w:noWrap/>
            <w:hideMark/>
          </w:tcPr>
          <w:p w14:paraId="50926DB4" w14:textId="77777777" w:rsidR="005257F9" w:rsidRPr="005257F9" w:rsidRDefault="005257F9" w:rsidP="005257F9">
            <w:r w:rsidRPr="005257F9">
              <w:t>Within 17 months from sales date</w:t>
            </w:r>
          </w:p>
        </w:tc>
      </w:tr>
      <w:tr w:rsidR="005257F9" w:rsidRPr="005257F9" w14:paraId="660D794D" w14:textId="77777777">
        <w:tc>
          <w:tcPr>
            <w:tcW w:w="0" w:type="auto"/>
            <w:tcBorders>
              <w:top w:val="single" w:sz="6" w:space="0" w:color="DEE2E6"/>
            </w:tcBorders>
            <w:noWrap/>
            <w:hideMark/>
          </w:tcPr>
          <w:p w14:paraId="15B3FE0D" w14:textId="77777777" w:rsidR="005257F9" w:rsidRPr="005257F9" w:rsidRDefault="005257F9" w:rsidP="005257F9">
            <w:r w:rsidRPr="005257F9">
              <w:t>18th Installment</w:t>
            </w:r>
          </w:p>
        </w:tc>
        <w:tc>
          <w:tcPr>
            <w:tcW w:w="0" w:type="auto"/>
            <w:tcBorders>
              <w:top w:val="single" w:sz="6" w:space="0" w:color="DEE2E6"/>
            </w:tcBorders>
            <w:noWrap/>
            <w:hideMark/>
          </w:tcPr>
          <w:p w14:paraId="3526012E" w14:textId="77777777" w:rsidR="005257F9" w:rsidRPr="005257F9" w:rsidRDefault="005257F9" w:rsidP="005257F9">
            <w:r w:rsidRPr="005257F9">
              <w:t>5%</w:t>
            </w:r>
          </w:p>
        </w:tc>
        <w:tc>
          <w:tcPr>
            <w:tcW w:w="0" w:type="auto"/>
            <w:tcBorders>
              <w:top w:val="single" w:sz="6" w:space="0" w:color="DEE2E6"/>
            </w:tcBorders>
            <w:noWrap/>
            <w:hideMark/>
          </w:tcPr>
          <w:p w14:paraId="0E080DFE" w14:textId="77777777" w:rsidR="005257F9" w:rsidRPr="005257F9" w:rsidRDefault="005257F9" w:rsidP="005257F9">
            <w:r w:rsidRPr="005257F9">
              <w:t>Within 18 months from sales date</w:t>
            </w:r>
          </w:p>
        </w:tc>
      </w:tr>
      <w:tr w:rsidR="005257F9" w:rsidRPr="005257F9" w14:paraId="25A1B4A0" w14:textId="77777777">
        <w:tc>
          <w:tcPr>
            <w:tcW w:w="0" w:type="auto"/>
            <w:tcBorders>
              <w:top w:val="single" w:sz="6" w:space="0" w:color="DEE2E6"/>
            </w:tcBorders>
            <w:noWrap/>
            <w:hideMark/>
          </w:tcPr>
          <w:p w14:paraId="2DF3695F" w14:textId="77777777" w:rsidR="005257F9" w:rsidRPr="005257F9" w:rsidRDefault="005257F9" w:rsidP="005257F9">
            <w:r w:rsidRPr="005257F9">
              <w:t>19th to 20th Installment</w:t>
            </w:r>
          </w:p>
        </w:tc>
        <w:tc>
          <w:tcPr>
            <w:tcW w:w="0" w:type="auto"/>
            <w:tcBorders>
              <w:top w:val="single" w:sz="6" w:space="0" w:color="DEE2E6"/>
            </w:tcBorders>
            <w:noWrap/>
            <w:hideMark/>
          </w:tcPr>
          <w:p w14:paraId="6E1E38A7" w14:textId="77777777" w:rsidR="005257F9" w:rsidRPr="005257F9" w:rsidRDefault="005257F9" w:rsidP="005257F9">
            <w:r w:rsidRPr="005257F9">
              <w:t>0.5%</w:t>
            </w:r>
          </w:p>
        </w:tc>
        <w:tc>
          <w:tcPr>
            <w:tcW w:w="0" w:type="auto"/>
            <w:tcBorders>
              <w:top w:val="single" w:sz="6" w:space="0" w:color="DEE2E6"/>
            </w:tcBorders>
            <w:noWrap/>
            <w:hideMark/>
          </w:tcPr>
          <w:p w14:paraId="18704207" w14:textId="77777777" w:rsidR="005257F9" w:rsidRPr="005257F9" w:rsidRDefault="005257F9" w:rsidP="005257F9">
            <w:r w:rsidRPr="005257F9">
              <w:t>Within 20 months from sales date</w:t>
            </w:r>
          </w:p>
        </w:tc>
      </w:tr>
      <w:tr w:rsidR="005257F9" w:rsidRPr="005257F9" w14:paraId="49189D36" w14:textId="77777777">
        <w:tc>
          <w:tcPr>
            <w:tcW w:w="0" w:type="auto"/>
            <w:tcBorders>
              <w:top w:val="single" w:sz="6" w:space="0" w:color="DEE2E6"/>
            </w:tcBorders>
            <w:noWrap/>
            <w:hideMark/>
          </w:tcPr>
          <w:p w14:paraId="479B2CCD" w14:textId="77777777" w:rsidR="005257F9" w:rsidRPr="005257F9" w:rsidRDefault="005257F9" w:rsidP="005257F9">
            <w:r w:rsidRPr="005257F9">
              <w:t>21st Installment</w:t>
            </w:r>
          </w:p>
        </w:tc>
        <w:tc>
          <w:tcPr>
            <w:tcW w:w="0" w:type="auto"/>
            <w:tcBorders>
              <w:top w:val="single" w:sz="6" w:space="0" w:color="DEE2E6"/>
            </w:tcBorders>
            <w:noWrap/>
            <w:hideMark/>
          </w:tcPr>
          <w:p w14:paraId="271283AC" w14:textId="77777777" w:rsidR="005257F9" w:rsidRPr="005257F9" w:rsidRDefault="005257F9" w:rsidP="005257F9">
            <w:r w:rsidRPr="005257F9">
              <w:t>5%</w:t>
            </w:r>
          </w:p>
        </w:tc>
        <w:tc>
          <w:tcPr>
            <w:tcW w:w="0" w:type="auto"/>
            <w:tcBorders>
              <w:top w:val="single" w:sz="6" w:space="0" w:color="DEE2E6"/>
            </w:tcBorders>
            <w:noWrap/>
            <w:hideMark/>
          </w:tcPr>
          <w:p w14:paraId="0C52371A" w14:textId="77777777" w:rsidR="005257F9" w:rsidRPr="005257F9" w:rsidRDefault="005257F9" w:rsidP="005257F9">
            <w:r w:rsidRPr="005257F9">
              <w:t>Within 21 months from sales date</w:t>
            </w:r>
          </w:p>
        </w:tc>
      </w:tr>
      <w:tr w:rsidR="005257F9" w:rsidRPr="005257F9" w14:paraId="7A51581F" w14:textId="77777777">
        <w:tc>
          <w:tcPr>
            <w:tcW w:w="0" w:type="auto"/>
            <w:tcBorders>
              <w:top w:val="single" w:sz="6" w:space="0" w:color="DEE2E6"/>
            </w:tcBorders>
            <w:noWrap/>
            <w:hideMark/>
          </w:tcPr>
          <w:p w14:paraId="5054065E" w14:textId="77777777" w:rsidR="005257F9" w:rsidRPr="005257F9" w:rsidRDefault="005257F9" w:rsidP="005257F9">
            <w:r w:rsidRPr="005257F9">
              <w:t>22nd to 23rd Installment</w:t>
            </w:r>
          </w:p>
        </w:tc>
        <w:tc>
          <w:tcPr>
            <w:tcW w:w="0" w:type="auto"/>
            <w:tcBorders>
              <w:top w:val="single" w:sz="6" w:space="0" w:color="DEE2E6"/>
            </w:tcBorders>
            <w:noWrap/>
            <w:hideMark/>
          </w:tcPr>
          <w:p w14:paraId="4285379D" w14:textId="77777777" w:rsidR="005257F9" w:rsidRPr="005257F9" w:rsidRDefault="005257F9" w:rsidP="005257F9">
            <w:r w:rsidRPr="005257F9">
              <w:t>1%</w:t>
            </w:r>
          </w:p>
        </w:tc>
        <w:tc>
          <w:tcPr>
            <w:tcW w:w="0" w:type="auto"/>
            <w:tcBorders>
              <w:top w:val="single" w:sz="6" w:space="0" w:color="DEE2E6"/>
            </w:tcBorders>
            <w:noWrap/>
            <w:hideMark/>
          </w:tcPr>
          <w:p w14:paraId="0BB3585B" w14:textId="77777777" w:rsidR="005257F9" w:rsidRPr="005257F9" w:rsidRDefault="005257F9" w:rsidP="005257F9">
            <w:r w:rsidRPr="005257F9">
              <w:t>Within 23 months from sales date</w:t>
            </w:r>
          </w:p>
        </w:tc>
      </w:tr>
      <w:tr w:rsidR="005257F9" w:rsidRPr="005257F9" w14:paraId="4DE70E8F" w14:textId="77777777">
        <w:tc>
          <w:tcPr>
            <w:tcW w:w="0" w:type="auto"/>
            <w:tcBorders>
              <w:top w:val="single" w:sz="6" w:space="0" w:color="DEE2E6"/>
            </w:tcBorders>
            <w:noWrap/>
            <w:hideMark/>
          </w:tcPr>
          <w:p w14:paraId="1DAE9EE4" w14:textId="77777777" w:rsidR="005257F9" w:rsidRPr="005257F9" w:rsidRDefault="005257F9" w:rsidP="005257F9">
            <w:r w:rsidRPr="005257F9">
              <w:t>24th Installment</w:t>
            </w:r>
          </w:p>
        </w:tc>
        <w:tc>
          <w:tcPr>
            <w:tcW w:w="0" w:type="auto"/>
            <w:tcBorders>
              <w:top w:val="single" w:sz="6" w:space="0" w:color="DEE2E6"/>
            </w:tcBorders>
            <w:noWrap/>
            <w:hideMark/>
          </w:tcPr>
          <w:p w14:paraId="4F124D98" w14:textId="77777777" w:rsidR="005257F9" w:rsidRPr="005257F9" w:rsidRDefault="005257F9" w:rsidP="005257F9">
            <w:r w:rsidRPr="005257F9">
              <w:t>10%</w:t>
            </w:r>
          </w:p>
        </w:tc>
        <w:tc>
          <w:tcPr>
            <w:tcW w:w="0" w:type="auto"/>
            <w:tcBorders>
              <w:top w:val="single" w:sz="6" w:space="0" w:color="DEE2E6"/>
            </w:tcBorders>
            <w:noWrap/>
            <w:hideMark/>
          </w:tcPr>
          <w:p w14:paraId="0C37A5FA" w14:textId="77777777" w:rsidR="005257F9" w:rsidRPr="005257F9" w:rsidRDefault="005257F9" w:rsidP="005257F9">
            <w:r w:rsidRPr="005257F9">
              <w:t>Within 24 months from sales date</w:t>
            </w:r>
          </w:p>
        </w:tc>
      </w:tr>
      <w:tr w:rsidR="005257F9" w:rsidRPr="005257F9" w14:paraId="7EAE2703" w14:textId="77777777">
        <w:tc>
          <w:tcPr>
            <w:tcW w:w="0" w:type="auto"/>
            <w:tcBorders>
              <w:top w:val="single" w:sz="6" w:space="0" w:color="DEE2E6"/>
            </w:tcBorders>
            <w:noWrap/>
            <w:hideMark/>
          </w:tcPr>
          <w:p w14:paraId="34265A45" w14:textId="77777777" w:rsidR="005257F9" w:rsidRPr="005257F9" w:rsidRDefault="005257F9" w:rsidP="005257F9">
            <w:r w:rsidRPr="005257F9">
              <w:t>Final Installment</w:t>
            </w:r>
          </w:p>
        </w:tc>
        <w:tc>
          <w:tcPr>
            <w:tcW w:w="0" w:type="auto"/>
            <w:tcBorders>
              <w:top w:val="single" w:sz="6" w:space="0" w:color="DEE2E6"/>
            </w:tcBorders>
            <w:noWrap/>
            <w:hideMark/>
          </w:tcPr>
          <w:p w14:paraId="3E61C622" w14:textId="77777777" w:rsidR="005257F9" w:rsidRPr="005257F9" w:rsidRDefault="005257F9" w:rsidP="005257F9">
            <w:r w:rsidRPr="005257F9">
              <w:t>40%</w:t>
            </w:r>
          </w:p>
        </w:tc>
        <w:tc>
          <w:tcPr>
            <w:tcW w:w="0" w:type="auto"/>
            <w:tcBorders>
              <w:top w:val="single" w:sz="6" w:space="0" w:color="DEE2E6"/>
            </w:tcBorders>
            <w:noWrap/>
            <w:hideMark/>
          </w:tcPr>
          <w:p w14:paraId="47FAE19D" w14:textId="77777777" w:rsidR="005257F9" w:rsidRPr="005257F9" w:rsidRDefault="005257F9" w:rsidP="005257F9">
            <w:r w:rsidRPr="005257F9">
              <w:t>On Completion</w:t>
            </w:r>
          </w:p>
        </w:tc>
      </w:tr>
    </w:tbl>
    <w:p w14:paraId="7A1B9C44" w14:textId="77777777" w:rsidR="005257F9" w:rsidRPr="005257F9" w:rsidRDefault="005257F9" w:rsidP="005257F9">
      <w:pPr>
        <w:rPr>
          <w:b/>
          <w:bCs/>
        </w:rPr>
      </w:pPr>
      <w:r w:rsidRPr="005257F9">
        <w:rPr>
          <w:b/>
          <w:bCs/>
        </w:rPr>
        <w:t>2- Standard 70/30, Installments Payment Plan</w:t>
      </w:r>
    </w:p>
    <w:tbl>
      <w:tblPr>
        <w:tblW w:w="10338" w:type="dxa"/>
        <w:tblCellMar>
          <w:top w:w="15" w:type="dxa"/>
          <w:left w:w="15" w:type="dxa"/>
          <w:bottom w:w="15" w:type="dxa"/>
          <w:right w:w="15" w:type="dxa"/>
        </w:tblCellMar>
        <w:tblLook w:val="04A0" w:firstRow="1" w:lastRow="0" w:firstColumn="1" w:lastColumn="0" w:noHBand="0" w:noVBand="1"/>
      </w:tblPr>
      <w:tblGrid>
        <w:gridCol w:w="3578"/>
        <w:gridCol w:w="2661"/>
        <w:gridCol w:w="4099"/>
      </w:tblGrid>
      <w:tr w:rsidR="005257F9" w:rsidRPr="005257F9" w14:paraId="1FC069DC" w14:textId="77777777">
        <w:trPr>
          <w:tblHeader/>
        </w:trPr>
        <w:tc>
          <w:tcPr>
            <w:tcW w:w="0" w:type="auto"/>
            <w:tcBorders>
              <w:top w:val="single" w:sz="6" w:space="0" w:color="DEE2E6"/>
              <w:bottom w:val="single" w:sz="12" w:space="0" w:color="DEE2E6"/>
            </w:tcBorders>
            <w:vAlign w:val="bottom"/>
            <w:hideMark/>
          </w:tcPr>
          <w:p w14:paraId="1046D86A" w14:textId="77777777" w:rsidR="005257F9" w:rsidRPr="005257F9" w:rsidRDefault="005257F9" w:rsidP="005257F9">
            <w:pPr>
              <w:rPr>
                <w:b/>
                <w:bCs/>
              </w:rPr>
            </w:pPr>
            <w:r w:rsidRPr="005257F9">
              <w:rPr>
                <w:b/>
                <w:bCs/>
              </w:rPr>
              <w:lastRenderedPageBreak/>
              <w:t>Installment</w:t>
            </w:r>
          </w:p>
        </w:tc>
        <w:tc>
          <w:tcPr>
            <w:tcW w:w="0" w:type="auto"/>
            <w:tcBorders>
              <w:top w:val="single" w:sz="6" w:space="0" w:color="DEE2E6"/>
              <w:bottom w:val="single" w:sz="12" w:space="0" w:color="DEE2E6"/>
            </w:tcBorders>
            <w:vAlign w:val="bottom"/>
            <w:hideMark/>
          </w:tcPr>
          <w:p w14:paraId="08E909CB" w14:textId="77777777" w:rsidR="005257F9" w:rsidRPr="005257F9" w:rsidRDefault="005257F9" w:rsidP="005257F9">
            <w:pPr>
              <w:rPr>
                <w:b/>
                <w:bCs/>
              </w:rPr>
            </w:pPr>
            <w:r w:rsidRPr="005257F9">
              <w:rPr>
                <w:b/>
                <w:bCs/>
              </w:rPr>
              <w:t>Payment (%)</w:t>
            </w:r>
          </w:p>
        </w:tc>
        <w:tc>
          <w:tcPr>
            <w:tcW w:w="0" w:type="auto"/>
            <w:tcBorders>
              <w:top w:val="single" w:sz="6" w:space="0" w:color="DEE2E6"/>
              <w:bottom w:val="single" w:sz="12" w:space="0" w:color="DEE2E6"/>
            </w:tcBorders>
            <w:vAlign w:val="bottom"/>
            <w:hideMark/>
          </w:tcPr>
          <w:p w14:paraId="6F295575" w14:textId="77777777" w:rsidR="005257F9" w:rsidRPr="005257F9" w:rsidRDefault="005257F9" w:rsidP="005257F9">
            <w:pPr>
              <w:rPr>
                <w:b/>
                <w:bCs/>
              </w:rPr>
            </w:pPr>
            <w:r w:rsidRPr="005257F9">
              <w:rPr>
                <w:b/>
                <w:bCs/>
              </w:rPr>
              <w:t>Milestone</w:t>
            </w:r>
          </w:p>
        </w:tc>
      </w:tr>
      <w:tr w:rsidR="005257F9" w:rsidRPr="005257F9" w14:paraId="10A06D69" w14:textId="77777777">
        <w:tc>
          <w:tcPr>
            <w:tcW w:w="0" w:type="auto"/>
            <w:tcBorders>
              <w:top w:val="single" w:sz="6" w:space="0" w:color="DEE2E6"/>
            </w:tcBorders>
            <w:noWrap/>
            <w:hideMark/>
          </w:tcPr>
          <w:p w14:paraId="33A9D63E" w14:textId="77777777" w:rsidR="005257F9" w:rsidRPr="005257F9" w:rsidRDefault="005257F9" w:rsidP="005257F9">
            <w:r w:rsidRPr="005257F9">
              <w:t>Down Payment</w:t>
            </w:r>
          </w:p>
        </w:tc>
        <w:tc>
          <w:tcPr>
            <w:tcW w:w="0" w:type="auto"/>
            <w:tcBorders>
              <w:top w:val="single" w:sz="6" w:space="0" w:color="DEE2E6"/>
            </w:tcBorders>
            <w:noWrap/>
            <w:hideMark/>
          </w:tcPr>
          <w:p w14:paraId="158CE0A4" w14:textId="77777777" w:rsidR="005257F9" w:rsidRPr="005257F9" w:rsidRDefault="005257F9" w:rsidP="005257F9">
            <w:r w:rsidRPr="005257F9">
              <w:t>20%</w:t>
            </w:r>
          </w:p>
        </w:tc>
        <w:tc>
          <w:tcPr>
            <w:tcW w:w="0" w:type="auto"/>
            <w:tcBorders>
              <w:top w:val="single" w:sz="6" w:space="0" w:color="DEE2E6"/>
            </w:tcBorders>
            <w:noWrap/>
            <w:hideMark/>
          </w:tcPr>
          <w:p w14:paraId="5892BE6E" w14:textId="77777777" w:rsidR="005257F9" w:rsidRPr="005257F9" w:rsidRDefault="005257F9" w:rsidP="005257F9">
            <w:r w:rsidRPr="005257F9">
              <w:t>On Booking Date</w:t>
            </w:r>
          </w:p>
        </w:tc>
      </w:tr>
      <w:tr w:rsidR="005257F9" w:rsidRPr="005257F9" w14:paraId="65F46FC6" w14:textId="77777777">
        <w:tc>
          <w:tcPr>
            <w:tcW w:w="0" w:type="auto"/>
            <w:tcBorders>
              <w:top w:val="single" w:sz="6" w:space="0" w:color="DEE2E6"/>
            </w:tcBorders>
            <w:noWrap/>
            <w:hideMark/>
          </w:tcPr>
          <w:p w14:paraId="75921AC0" w14:textId="77777777" w:rsidR="005257F9" w:rsidRPr="005257F9" w:rsidRDefault="005257F9" w:rsidP="005257F9">
            <w:r w:rsidRPr="005257F9">
              <w:t>Easy Installments</w:t>
            </w:r>
          </w:p>
        </w:tc>
        <w:tc>
          <w:tcPr>
            <w:tcW w:w="0" w:type="auto"/>
            <w:tcBorders>
              <w:top w:val="single" w:sz="6" w:space="0" w:color="DEE2E6"/>
            </w:tcBorders>
            <w:noWrap/>
            <w:hideMark/>
          </w:tcPr>
          <w:p w14:paraId="01192E24" w14:textId="77777777" w:rsidR="005257F9" w:rsidRPr="005257F9" w:rsidRDefault="005257F9" w:rsidP="005257F9">
            <w:r w:rsidRPr="005257F9">
              <w:t>50%</w:t>
            </w:r>
          </w:p>
        </w:tc>
        <w:tc>
          <w:tcPr>
            <w:tcW w:w="0" w:type="auto"/>
            <w:tcBorders>
              <w:top w:val="single" w:sz="6" w:space="0" w:color="DEE2E6"/>
            </w:tcBorders>
            <w:noWrap/>
            <w:hideMark/>
          </w:tcPr>
          <w:p w14:paraId="3E0BCE41" w14:textId="77777777" w:rsidR="005257F9" w:rsidRPr="005257F9" w:rsidRDefault="005257F9" w:rsidP="005257F9">
            <w:r w:rsidRPr="005257F9">
              <w:t>During Construction</w:t>
            </w:r>
          </w:p>
        </w:tc>
      </w:tr>
      <w:tr w:rsidR="005257F9" w:rsidRPr="005257F9" w14:paraId="438439BC" w14:textId="77777777">
        <w:tc>
          <w:tcPr>
            <w:tcW w:w="0" w:type="auto"/>
            <w:tcBorders>
              <w:top w:val="single" w:sz="6" w:space="0" w:color="DEE2E6"/>
            </w:tcBorders>
            <w:noWrap/>
            <w:hideMark/>
          </w:tcPr>
          <w:p w14:paraId="6D70F444" w14:textId="77777777" w:rsidR="005257F9" w:rsidRPr="005257F9" w:rsidRDefault="005257F9" w:rsidP="005257F9">
            <w:r w:rsidRPr="005257F9">
              <w:t>Final Installment</w:t>
            </w:r>
          </w:p>
        </w:tc>
        <w:tc>
          <w:tcPr>
            <w:tcW w:w="0" w:type="auto"/>
            <w:tcBorders>
              <w:top w:val="single" w:sz="6" w:space="0" w:color="DEE2E6"/>
            </w:tcBorders>
            <w:noWrap/>
            <w:hideMark/>
          </w:tcPr>
          <w:p w14:paraId="2157BFC7" w14:textId="77777777" w:rsidR="005257F9" w:rsidRPr="005257F9" w:rsidRDefault="005257F9" w:rsidP="005257F9">
            <w:r w:rsidRPr="005257F9">
              <w:t>30%</w:t>
            </w:r>
          </w:p>
        </w:tc>
        <w:tc>
          <w:tcPr>
            <w:tcW w:w="0" w:type="auto"/>
            <w:tcBorders>
              <w:top w:val="single" w:sz="6" w:space="0" w:color="DEE2E6"/>
            </w:tcBorders>
            <w:noWrap/>
            <w:hideMark/>
          </w:tcPr>
          <w:p w14:paraId="3E64FE80" w14:textId="77777777" w:rsidR="005257F9" w:rsidRPr="005257F9" w:rsidRDefault="005257F9" w:rsidP="005257F9">
            <w:r w:rsidRPr="005257F9">
              <w:t>On Handover</w:t>
            </w:r>
          </w:p>
        </w:tc>
      </w:tr>
    </w:tbl>
    <w:p w14:paraId="4303AE44" w14:textId="77777777" w:rsidR="00E70177" w:rsidRDefault="00E70177"/>
    <w:sectPr w:rsidR="00E70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E8"/>
    <w:rsid w:val="00236441"/>
    <w:rsid w:val="004004E8"/>
    <w:rsid w:val="005257F9"/>
    <w:rsid w:val="008115C9"/>
    <w:rsid w:val="00E70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6292E-1BC8-4340-8F10-0235B37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4E8"/>
    <w:rPr>
      <w:rFonts w:eastAsiaTheme="majorEastAsia" w:cstheme="majorBidi"/>
      <w:color w:val="272727" w:themeColor="text1" w:themeTint="D8"/>
    </w:rPr>
  </w:style>
  <w:style w:type="paragraph" w:styleId="Title">
    <w:name w:val="Title"/>
    <w:basedOn w:val="Normal"/>
    <w:next w:val="Normal"/>
    <w:link w:val="TitleChar"/>
    <w:uiPriority w:val="10"/>
    <w:qFormat/>
    <w:rsid w:val="00400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4E8"/>
    <w:pPr>
      <w:spacing w:before="160"/>
      <w:jc w:val="center"/>
    </w:pPr>
    <w:rPr>
      <w:i/>
      <w:iCs/>
      <w:color w:val="404040" w:themeColor="text1" w:themeTint="BF"/>
    </w:rPr>
  </w:style>
  <w:style w:type="character" w:customStyle="1" w:styleId="QuoteChar">
    <w:name w:val="Quote Char"/>
    <w:basedOn w:val="DefaultParagraphFont"/>
    <w:link w:val="Quote"/>
    <w:uiPriority w:val="29"/>
    <w:rsid w:val="004004E8"/>
    <w:rPr>
      <w:i/>
      <w:iCs/>
      <w:color w:val="404040" w:themeColor="text1" w:themeTint="BF"/>
    </w:rPr>
  </w:style>
  <w:style w:type="paragraph" w:styleId="ListParagraph">
    <w:name w:val="List Paragraph"/>
    <w:basedOn w:val="Normal"/>
    <w:uiPriority w:val="34"/>
    <w:qFormat/>
    <w:rsid w:val="004004E8"/>
    <w:pPr>
      <w:ind w:left="720"/>
      <w:contextualSpacing/>
    </w:pPr>
  </w:style>
  <w:style w:type="character" w:styleId="IntenseEmphasis">
    <w:name w:val="Intense Emphasis"/>
    <w:basedOn w:val="DefaultParagraphFont"/>
    <w:uiPriority w:val="21"/>
    <w:qFormat/>
    <w:rsid w:val="004004E8"/>
    <w:rPr>
      <w:i/>
      <w:iCs/>
      <w:color w:val="0F4761" w:themeColor="accent1" w:themeShade="BF"/>
    </w:rPr>
  </w:style>
  <w:style w:type="paragraph" w:styleId="IntenseQuote">
    <w:name w:val="Intense Quote"/>
    <w:basedOn w:val="Normal"/>
    <w:next w:val="Normal"/>
    <w:link w:val="IntenseQuoteChar"/>
    <w:uiPriority w:val="30"/>
    <w:qFormat/>
    <w:rsid w:val="00400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4E8"/>
    <w:rPr>
      <w:i/>
      <w:iCs/>
      <w:color w:val="0F4761" w:themeColor="accent1" w:themeShade="BF"/>
    </w:rPr>
  </w:style>
  <w:style w:type="character" w:styleId="IntenseReference">
    <w:name w:val="Intense Reference"/>
    <w:basedOn w:val="DefaultParagraphFont"/>
    <w:uiPriority w:val="32"/>
    <w:qFormat/>
    <w:rsid w:val="00400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mayya</dc:creator>
  <cp:keywords/>
  <dc:description/>
  <cp:lastModifiedBy>hussein mayya</cp:lastModifiedBy>
  <cp:revision>2</cp:revision>
  <dcterms:created xsi:type="dcterms:W3CDTF">2026-02-17T07:39:00Z</dcterms:created>
  <dcterms:modified xsi:type="dcterms:W3CDTF">2026-02-17T07:39:00Z</dcterms:modified>
</cp:coreProperties>
</file>